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CD73" w14:textId="77777777" w:rsidR="00DE08F2" w:rsidRDefault="00DE08F2" w:rsidP="00DE08F2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0"/>
          <w:szCs w:val="20"/>
        </w:rPr>
      </w:pPr>
      <w:bookmarkStart w:id="0" w:name="_GoBack"/>
      <w:bookmarkEnd w:id="0"/>
      <w:r>
        <w:rPr>
          <w:rFonts w:ascii="ITCFranklinGothicStd-Book" w:hAnsi="ITCFranklinGothicStd-Book" w:cs="ITCFranklinGothicStd-Book"/>
          <w:color w:val="000000"/>
          <w:sz w:val="20"/>
          <w:szCs w:val="20"/>
        </w:rPr>
        <w:t>In de lessen werken de kinderen gedurende acht</w:t>
      </w:r>
      <w:r w:rsidR="004A4E5B">
        <w:rPr>
          <w:rFonts w:ascii="ITCFranklinGothicStd-Book" w:hAnsi="ITCFranklinGothicStd-Book" w:cs="ITCFranklinGothicStd-Book"/>
          <w:color w:val="000000"/>
          <w:sz w:val="20"/>
          <w:szCs w:val="20"/>
        </w:rPr>
        <w:t xml:space="preserve"> </w:t>
      </w:r>
      <w:r>
        <w:rPr>
          <w:rFonts w:ascii="ITCFranklinGothicStd-Book" w:hAnsi="ITCFranklinGothicStd-Book" w:cs="ITCFranklinGothicStd-Book"/>
          <w:color w:val="000000"/>
          <w:sz w:val="20"/>
          <w:szCs w:val="20"/>
        </w:rPr>
        <w:t>schooljaren stap-voor-stap aan twaalf sociaalemotionele</w:t>
      </w:r>
      <w:r w:rsidR="004A4E5B">
        <w:rPr>
          <w:rFonts w:ascii="ITCFranklinGothicStd-Book" w:hAnsi="ITCFranklinGothicStd-Book" w:cs="ITCFranklinGothicStd-Book"/>
          <w:color w:val="000000"/>
          <w:sz w:val="20"/>
          <w:szCs w:val="20"/>
        </w:rPr>
        <w:t xml:space="preserve"> </w:t>
      </w:r>
      <w:r>
        <w:rPr>
          <w:rFonts w:ascii="ITCFranklinGothicStd-Book" w:hAnsi="ITCFranklinGothicStd-Book" w:cs="ITCFranklinGothicStd-Book"/>
          <w:color w:val="000000"/>
          <w:sz w:val="20"/>
          <w:szCs w:val="20"/>
        </w:rPr>
        <w:t>competenties.</w:t>
      </w:r>
    </w:p>
    <w:p w14:paraId="2BD989E6" w14:textId="77777777" w:rsidR="00DE08F2" w:rsidRDefault="00DE08F2" w:rsidP="00DE08F2">
      <w:pPr>
        <w:autoSpaceDE w:val="0"/>
        <w:autoSpaceDN w:val="0"/>
        <w:adjustRightInd w:val="0"/>
        <w:spacing w:after="0" w:line="240" w:lineRule="auto"/>
        <w:rPr>
          <w:rFonts w:ascii="KippOT-NoOne" w:hAnsi="KippOT-NoOne" w:cs="KippOT-NoOne"/>
          <w:color w:val="FFFFFF"/>
          <w:sz w:val="28"/>
          <w:szCs w:val="28"/>
        </w:rPr>
      </w:pPr>
      <w:proofErr w:type="spellStart"/>
      <w:proofErr w:type="gramStart"/>
      <w:r>
        <w:rPr>
          <w:rFonts w:ascii="KippOT-NoOne" w:hAnsi="KippOT-NoOne" w:cs="KippOT-NoOne"/>
          <w:color w:val="FFFFFF"/>
          <w:sz w:val="28"/>
          <w:szCs w:val="28"/>
        </w:rPr>
        <w:t>lnformatiebrochure</w:t>
      </w:r>
      <w:proofErr w:type="spellEnd"/>
      <w:proofErr w:type="gramEnd"/>
      <w:r>
        <w:rPr>
          <w:rFonts w:ascii="KippOT-NoOne" w:hAnsi="KippOT-NoOne" w:cs="KippOT-NoOne"/>
          <w:color w:val="FFFFFF"/>
          <w:sz w:val="28"/>
          <w:szCs w:val="28"/>
        </w:rPr>
        <w:t xml:space="preserve"> Goed g gedaan! •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3261"/>
      </w:tblGrid>
      <w:tr w:rsidR="00DE08F2" w14:paraId="467E4F71" w14:textId="77777777" w:rsidTr="00DE08F2">
        <w:trPr>
          <w:trHeight w:val="362"/>
        </w:trPr>
        <w:tc>
          <w:tcPr>
            <w:tcW w:w="2830" w:type="dxa"/>
            <w:shd w:val="clear" w:color="auto" w:fill="00B0F0"/>
          </w:tcPr>
          <w:p w14:paraId="538BFD38" w14:textId="77777777" w:rsidR="00DE08F2" w:rsidRPr="00272D99" w:rsidRDefault="00DE08F2" w:rsidP="00DE08F2">
            <w:pPr>
              <w:autoSpaceDE w:val="0"/>
              <w:autoSpaceDN w:val="0"/>
              <w:adjustRightInd w:val="0"/>
              <w:rPr>
                <w:rFonts w:ascii="ITCFranklinGothicStd-Demi" w:hAnsi="ITCFranklinGothicStd-Demi" w:cs="ITCFranklinGothicStd-Demi"/>
                <w:b/>
                <w:bCs/>
                <w:color w:val="FFFFFF"/>
                <w:sz w:val="16"/>
                <w:szCs w:val="16"/>
              </w:rPr>
            </w:pPr>
            <w:r w:rsidRPr="00272D99">
              <w:rPr>
                <w:b/>
                <w:bCs/>
                <w:sz w:val="16"/>
                <w:szCs w:val="16"/>
              </w:rPr>
              <w:t>IK</w:t>
            </w:r>
          </w:p>
        </w:tc>
        <w:tc>
          <w:tcPr>
            <w:tcW w:w="3261" w:type="dxa"/>
            <w:shd w:val="clear" w:color="auto" w:fill="00B0F0"/>
          </w:tcPr>
          <w:p w14:paraId="3C7E1DD1" w14:textId="77777777" w:rsidR="00DE08F2" w:rsidRPr="00272D99" w:rsidRDefault="00DE08F2" w:rsidP="00DE08F2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272D99">
              <w:rPr>
                <w:b/>
                <w:bCs/>
                <w:sz w:val="16"/>
                <w:szCs w:val="16"/>
              </w:rPr>
              <w:t>WIJ</w:t>
            </w:r>
            <w:proofErr w:type="gramEnd"/>
          </w:p>
          <w:p w14:paraId="4D4AB7E9" w14:textId="77777777" w:rsidR="00DE08F2" w:rsidRPr="00272D99" w:rsidRDefault="00DE08F2" w:rsidP="00DE08F2">
            <w:pPr>
              <w:autoSpaceDE w:val="0"/>
              <w:autoSpaceDN w:val="0"/>
              <w:adjustRightInd w:val="0"/>
              <w:rPr>
                <w:rFonts w:ascii="ITCFranklinGothicStd-Demi" w:hAnsi="ITCFranklinGothicStd-Demi" w:cs="ITCFranklinGothicStd-Dem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E08F2" w14:paraId="4A49F858" w14:textId="77777777" w:rsidTr="00DE08F2">
        <w:tc>
          <w:tcPr>
            <w:tcW w:w="2830" w:type="dxa"/>
          </w:tcPr>
          <w:p w14:paraId="76BA8E2B" w14:textId="77777777" w:rsidR="00DE08F2" w:rsidRPr="00272D99" w:rsidRDefault="00DE08F2" w:rsidP="00DE08F2">
            <w:pPr>
              <w:autoSpaceDE w:val="0"/>
              <w:autoSpaceDN w:val="0"/>
              <w:adjustRightInd w:val="0"/>
              <w:rPr>
                <w:rFonts w:ascii="ITCFranklinGothicStd-Demi" w:hAnsi="ITCFranklinGothicStd-Demi" w:cs="ITCFranklinGothicStd-Demi"/>
                <w:b/>
                <w:bCs/>
                <w:color w:val="FFFFFF"/>
                <w:sz w:val="16"/>
                <w:szCs w:val="16"/>
              </w:rPr>
            </w:pPr>
            <w:r w:rsidRPr="00272D99">
              <w:rPr>
                <w:sz w:val="16"/>
                <w:szCs w:val="16"/>
              </w:rPr>
              <w:t>zelfkennis</w:t>
            </w:r>
          </w:p>
        </w:tc>
        <w:tc>
          <w:tcPr>
            <w:tcW w:w="3261" w:type="dxa"/>
          </w:tcPr>
          <w:p w14:paraId="6DED0BF1" w14:textId="77777777" w:rsidR="00DE08F2" w:rsidRPr="00272D99" w:rsidRDefault="00DE08F2" w:rsidP="00DE08F2">
            <w:p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272D99">
              <w:rPr>
                <w:sz w:val="16"/>
                <w:szCs w:val="16"/>
              </w:rPr>
              <w:t>omgaan</w:t>
            </w:r>
            <w:proofErr w:type="gramEnd"/>
            <w:r w:rsidRPr="00272D99">
              <w:rPr>
                <w:sz w:val="16"/>
                <w:szCs w:val="16"/>
              </w:rPr>
              <w:t xml:space="preserve"> met verschillen</w:t>
            </w:r>
          </w:p>
          <w:p w14:paraId="39F0145D" w14:textId="77777777" w:rsidR="00DE08F2" w:rsidRPr="00272D99" w:rsidRDefault="00DE08F2" w:rsidP="00DE08F2">
            <w:pPr>
              <w:autoSpaceDE w:val="0"/>
              <w:autoSpaceDN w:val="0"/>
              <w:adjustRightInd w:val="0"/>
              <w:rPr>
                <w:rFonts w:ascii="ITCFranklinGothicStd-Demi" w:hAnsi="ITCFranklinGothicStd-Demi" w:cs="ITCFranklinGothicStd-Dem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E08F2" w14:paraId="3BD5E187" w14:textId="77777777" w:rsidTr="00DE08F2">
        <w:tc>
          <w:tcPr>
            <w:tcW w:w="2830" w:type="dxa"/>
          </w:tcPr>
          <w:p w14:paraId="12C92987" w14:textId="77777777" w:rsidR="00DE08F2" w:rsidRPr="00272D99" w:rsidRDefault="00DE08F2" w:rsidP="00DE08F2">
            <w:pPr>
              <w:autoSpaceDE w:val="0"/>
              <w:autoSpaceDN w:val="0"/>
              <w:adjustRightInd w:val="0"/>
              <w:rPr>
                <w:rFonts w:ascii="ITCFranklinGothicStd-Demi" w:hAnsi="ITCFranklinGothicStd-Demi" w:cs="ITCFranklinGothicStd-Demi"/>
                <w:b/>
                <w:bCs/>
                <w:color w:val="FFFFFF"/>
                <w:sz w:val="16"/>
                <w:szCs w:val="16"/>
              </w:rPr>
            </w:pPr>
            <w:r w:rsidRPr="00272D99">
              <w:rPr>
                <w:sz w:val="16"/>
                <w:szCs w:val="16"/>
              </w:rPr>
              <w:t>relativeren</w:t>
            </w:r>
          </w:p>
        </w:tc>
        <w:tc>
          <w:tcPr>
            <w:tcW w:w="3261" w:type="dxa"/>
          </w:tcPr>
          <w:p w14:paraId="4A4AE68D" w14:textId="77777777" w:rsidR="00DE08F2" w:rsidRPr="00272D99" w:rsidRDefault="00DE08F2" w:rsidP="00DE08F2">
            <w:p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272D99">
              <w:rPr>
                <w:sz w:val="16"/>
                <w:szCs w:val="16"/>
              </w:rPr>
              <w:t>rekening</w:t>
            </w:r>
            <w:proofErr w:type="gramEnd"/>
            <w:r w:rsidRPr="00272D99">
              <w:rPr>
                <w:sz w:val="16"/>
                <w:szCs w:val="16"/>
              </w:rPr>
              <w:t xml:space="preserve"> houden met anderen</w:t>
            </w:r>
          </w:p>
          <w:p w14:paraId="367B8624" w14:textId="77777777" w:rsidR="00DE08F2" w:rsidRPr="00272D99" w:rsidRDefault="00DE08F2" w:rsidP="00DE08F2">
            <w:pPr>
              <w:autoSpaceDE w:val="0"/>
              <w:autoSpaceDN w:val="0"/>
              <w:adjustRightInd w:val="0"/>
              <w:rPr>
                <w:rFonts w:ascii="ITCFranklinGothicStd-Demi" w:hAnsi="ITCFranklinGothicStd-Demi" w:cs="ITCFranklinGothicStd-Dem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E08F2" w14:paraId="37AD6777" w14:textId="77777777" w:rsidTr="00DE08F2">
        <w:tc>
          <w:tcPr>
            <w:tcW w:w="2830" w:type="dxa"/>
          </w:tcPr>
          <w:p w14:paraId="1739D8B4" w14:textId="77777777" w:rsidR="00DE08F2" w:rsidRPr="00272D99" w:rsidRDefault="00DE08F2" w:rsidP="00DE08F2">
            <w:pPr>
              <w:autoSpaceDE w:val="0"/>
              <w:autoSpaceDN w:val="0"/>
              <w:adjustRightInd w:val="0"/>
              <w:rPr>
                <w:rFonts w:ascii="ITCFranklinGothicStd-Demi" w:hAnsi="ITCFranklinGothicStd-Demi" w:cs="ITCFranklinGothicStd-Demi"/>
                <w:b/>
                <w:bCs/>
                <w:color w:val="FFFFFF"/>
                <w:sz w:val="16"/>
                <w:szCs w:val="16"/>
              </w:rPr>
            </w:pPr>
            <w:r w:rsidRPr="00272D99">
              <w:rPr>
                <w:sz w:val="16"/>
                <w:szCs w:val="16"/>
              </w:rPr>
              <w:t>zelfvertrouwen</w:t>
            </w:r>
          </w:p>
        </w:tc>
        <w:tc>
          <w:tcPr>
            <w:tcW w:w="3261" w:type="dxa"/>
          </w:tcPr>
          <w:p w14:paraId="213B3102" w14:textId="77777777" w:rsidR="00DE08F2" w:rsidRPr="00272D99" w:rsidRDefault="00DE08F2" w:rsidP="00DE08F2">
            <w:p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272D99">
              <w:rPr>
                <w:sz w:val="16"/>
                <w:szCs w:val="16"/>
              </w:rPr>
              <w:t>weerbaarheid</w:t>
            </w:r>
            <w:proofErr w:type="gramEnd"/>
          </w:p>
          <w:p w14:paraId="76D3D55E" w14:textId="77777777" w:rsidR="00DE08F2" w:rsidRPr="00272D99" w:rsidRDefault="00DE08F2" w:rsidP="00DE08F2">
            <w:pPr>
              <w:autoSpaceDE w:val="0"/>
              <w:autoSpaceDN w:val="0"/>
              <w:adjustRightInd w:val="0"/>
              <w:rPr>
                <w:rFonts w:ascii="ITCFranklinGothicStd-Demi" w:hAnsi="ITCFranklinGothicStd-Demi" w:cs="ITCFranklinGothicStd-Dem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E08F2" w14:paraId="6E51EB26" w14:textId="77777777" w:rsidTr="00DE08F2">
        <w:tc>
          <w:tcPr>
            <w:tcW w:w="2830" w:type="dxa"/>
          </w:tcPr>
          <w:p w14:paraId="126724DD" w14:textId="77777777" w:rsidR="00DE08F2" w:rsidRPr="00272D99" w:rsidRDefault="00DE08F2" w:rsidP="00DE08F2">
            <w:pPr>
              <w:autoSpaceDE w:val="0"/>
              <w:autoSpaceDN w:val="0"/>
              <w:adjustRightInd w:val="0"/>
              <w:rPr>
                <w:rFonts w:ascii="ITCFranklinGothicStd-Demi" w:hAnsi="ITCFranklinGothicStd-Demi" w:cs="ITCFranklinGothicStd-Demi"/>
                <w:b/>
                <w:bCs/>
                <w:color w:val="FFFFFF"/>
                <w:sz w:val="16"/>
                <w:szCs w:val="16"/>
              </w:rPr>
            </w:pPr>
            <w:r w:rsidRPr="00272D99">
              <w:rPr>
                <w:sz w:val="16"/>
                <w:szCs w:val="16"/>
              </w:rPr>
              <w:t>zelfbeheersing</w:t>
            </w:r>
          </w:p>
        </w:tc>
        <w:tc>
          <w:tcPr>
            <w:tcW w:w="3261" w:type="dxa"/>
          </w:tcPr>
          <w:p w14:paraId="19FDE397" w14:textId="77777777" w:rsidR="00DE08F2" w:rsidRPr="00272D99" w:rsidRDefault="00DE08F2" w:rsidP="00DE08F2">
            <w:p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272D99">
              <w:rPr>
                <w:sz w:val="16"/>
                <w:szCs w:val="16"/>
              </w:rPr>
              <w:t>samen</w:t>
            </w:r>
            <w:proofErr w:type="gramEnd"/>
            <w:r w:rsidRPr="00272D99">
              <w:rPr>
                <w:sz w:val="16"/>
                <w:szCs w:val="16"/>
              </w:rPr>
              <w:t xml:space="preserve"> spelen en werken</w:t>
            </w:r>
          </w:p>
          <w:p w14:paraId="3C10DF43" w14:textId="77777777" w:rsidR="00DE08F2" w:rsidRPr="00272D99" w:rsidRDefault="00DE08F2" w:rsidP="00DE08F2">
            <w:pPr>
              <w:autoSpaceDE w:val="0"/>
              <w:autoSpaceDN w:val="0"/>
              <w:adjustRightInd w:val="0"/>
              <w:rPr>
                <w:rFonts w:ascii="ITCFranklinGothicStd-Demi" w:hAnsi="ITCFranklinGothicStd-Demi" w:cs="ITCFranklinGothicStd-Dem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E08F2" w14:paraId="3F888DB3" w14:textId="77777777" w:rsidTr="00DE08F2">
        <w:tc>
          <w:tcPr>
            <w:tcW w:w="2830" w:type="dxa"/>
          </w:tcPr>
          <w:p w14:paraId="57B6FA87" w14:textId="77777777" w:rsidR="00DE08F2" w:rsidRPr="00272D99" w:rsidRDefault="00DE08F2" w:rsidP="00DE08F2">
            <w:pPr>
              <w:autoSpaceDE w:val="0"/>
              <w:autoSpaceDN w:val="0"/>
              <w:adjustRightInd w:val="0"/>
              <w:rPr>
                <w:rFonts w:ascii="ITCFranklinGothicStd-Demi" w:hAnsi="ITCFranklinGothicStd-Demi" w:cs="ITCFranklinGothicStd-Demi"/>
                <w:b/>
                <w:bCs/>
                <w:color w:val="FFFFFF"/>
                <w:sz w:val="16"/>
                <w:szCs w:val="16"/>
              </w:rPr>
            </w:pPr>
            <w:r w:rsidRPr="00272D99">
              <w:rPr>
                <w:sz w:val="16"/>
                <w:szCs w:val="16"/>
              </w:rPr>
              <w:t>bewust keuzes maken</w:t>
            </w:r>
          </w:p>
        </w:tc>
        <w:tc>
          <w:tcPr>
            <w:tcW w:w="3261" w:type="dxa"/>
          </w:tcPr>
          <w:p w14:paraId="21B5F246" w14:textId="77777777" w:rsidR="00DE08F2" w:rsidRPr="00272D99" w:rsidRDefault="00DE08F2" w:rsidP="00DE08F2">
            <w:pPr>
              <w:spacing w:after="160" w:line="259" w:lineRule="auto"/>
              <w:rPr>
                <w:sz w:val="16"/>
                <w:szCs w:val="16"/>
              </w:rPr>
            </w:pPr>
            <w:proofErr w:type="gramStart"/>
            <w:r w:rsidRPr="00272D99">
              <w:rPr>
                <w:sz w:val="16"/>
                <w:szCs w:val="16"/>
              </w:rPr>
              <w:t>samen</w:t>
            </w:r>
            <w:proofErr w:type="gramEnd"/>
            <w:r w:rsidRPr="00272D99">
              <w:rPr>
                <w:sz w:val="16"/>
                <w:szCs w:val="16"/>
              </w:rPr>
              <w:t xml:space="preserve"> op internet</w:t>
            </w:r>
          </w:p>
          <w:p w14:paraId="5C1C2A1D" w14:textId="77777777" w:rsidR="00DE08F2" w:rsidRPr="00272D99" w:rsidRDefault="00DE08F2" w:rsidP="00DE08F2">
            <w:pPr>
              <w:autoSpaceDE w:val="0"/>
              <w:autoSpaceDN w:val="0"/>
              <w:adjustRightInd w:val="0"/>
              <w:rPr>
                <w:rFonts w:ascii="ITCFranklinGothicStd-Demi" w:hAnsi="ITCFranklinGothicStd-Demi" w:cs="ITCFranklinGothicStd-Dem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E08F2" w14:paraId="61ED2BAA" w14:textId="77777777" w:rsidTr="00DE08F2">
        <w:tc>
          <w:tcPr>
            <w:tcW w:w="2830" w:type="dxa"/>
            <w:shd w:val="clear" w:color="auto" w:fill="00B0F0"/>
          </w:tcPr>
          <w:p w14:paraId="74B0ECD5" w14:textId="77777777" w:rsidR="00DE08F2" w:rsidRPr="00272D99" w:rsidRDefault="00DE08F2" w:rsidP="00DE08F2">
            <w:pPr>
              <w:autoSpaceDE w:val="0"/>
              <w:autoSpaceDN w:val="0"/>
              <w:adjustRightInd w:val="0"/>
              <w:rPr>
                <w:rFonts w:ascii="ITCFranklinGothicStd-Demi" w:hAnsi="ITCFranklinGothicStd-Demi" w:cs="ITCFranklinGothicStd-Demi"/>
                <w:b/>
                <w:bCs/>
                <w:color w:val="FFFFFF"/>
                <w:sz w:val="16"/>
                <w:szCs w:val="16"/>
              </w:rPr>
            </w:pPr>
            <w:r w:rsidRPr="00272D99">
              <w:rPr>
                <w:b/>
                <w:bCs/>
                <w:sz w:val="16"/>
                <w:szCs w:val="16"/>
              </w:rPr>
              <w:t>JIJ</w:t>
            </w:r>
          </w:p>
        </w:tc>
        <w:tc>
          <w:tcPr>
            <w:tcW w:w="3261" w:type="dxa"/>
            <w:shd w:val="clear" w:color="auto" w:fill="00B0F0"/>
          </w:tcPr>
          <w:p w14:paraId="427A9B4B" w14:textId="77777777" w:rsidR="00DE08F2" w:rsidRPr="00272D99" w:rsidRDefault="00DE08F2" w:rsidP="00DE08F2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272D99">
              <w:rPr>
                <w:b/>
                <w:bCs/>
                <w:sz w:val="16"/>
                <w:szCs w:val="16"/>
              </w:rPr>
              <w:t>ZIJ</w:t>
            </w:r>
            <w:proofErr w:type="gramEnd"/>
          </w:p>
          <w:p w14:paraId="74A46615" w14:textId="77777777" w:rsidR="00DE08F2" w:rsidRPr="00272D99" w:rsidRDefault="00DE08F2" w:rsidP="00DE08F2">
            <w:pPr>
              <w:autoSpaceDE w:val="0"/>
              <w:autoSpaceDN w:val="0"/>
              <w:adjustRightInd w:val="0"/>
              <w:rPr>
                <w:rFonts w:ascii="ITCFranklinGothicStd-Demi" w:hAnsi="ITCFranklinGothicStd-Demi" w:cs="ITCFranklinGothicStd-Dem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E08F2" w14:paraId="14133FC8" w14:textId="77777777" w:rsidTr="00DE08F2">
        <w:tc>
          <w:tcPr>
            <w:tcW w:w="2830" w:type="dxa"/>
          </w:tcPr>
          <w:p w14:paraId="62B0F24C" w14:textId="77777777" w:rsidR="00DE08F2" w:rsidRPr="00272D99" w:rsidRDefault="00DE08F2" w:rsidP="00DE08F2">
            <w:pPr>
              <w:autoSpaceDE w:val="0"/>
              <w:autoSpaceDN w:val="0"/>
              <w:adjustRightInd w:val="0"/>
              <w:rPr>
                <w:rFonts w:ascii="ITCFranklinGothicStd-Demi" w:hAnsi="ITCFranklinGothicStd-Demi" w:cs="ITCFranklinGothicStd-Demi"/>
                <w:b/>
                <w:bCs/>
                <w:color w:val="FFFFFF"/>
                <w:sz w:val="16"/>
                <w:szCs w:val="16"/>
              </w:rPr>
            </w:pPr>
            <w:r w:rsidRPr="00272D99">
              <w:rPr>
                <w:sz w:val="16"/>
                <w:szCs w:val="16"/>
              </w:rPr>
              <w:t>verplaatsen in anderen</w:t>
            </w:r>
          </w:p>
        </w:tc>
        <w:tc>
          <w:tcPr>
            <w:tcW w:w="3261" w:type="dxa"/>
          </w:tcPr>
          <w:p w14:paraId="394C29C6" w14:textId="77777777" w:rsidR="00DE08F2" w:rsidRPr="00272D99" w:rsidRDefault="00DE08F2" w:rsidP="00DE08F2">
            <w:pPr>
              <w:rPr>
                <w:sz w:val="16"/>
                <w:szCs w:val="16"/>
              </w:rPr>
            </w:pPr>
            <w:proofErr w:type="gramStart"/>
            <w:r w:rsidRPr="00272D99">
              <w:rPr>
                <w:sz w:val="16"/>
                <w:szCs w:val="16"/>
              </w:rPr>
              <w:t>omgaan</w:t>
            </w:r>
            <w:proofErr w:type="gramEnd"/>
            <w:r w:rsidRPr="00272D99">
              <w:rPr>
                <w:sz w:val="16"/>
                <w:szCs w:val="16"/>
              </w:rPr>
              <w:t xml:space="preserve"> met media-informatie</w:t>
            </w:r>
          </w:p>
          <w:p w14:paraId="39EB5471" w14:textId="77777777" w:rsidR="00DE08F2" w:rsidRPr="00272D99" w:rsidRDefault="00DE08F2" w:rsidP="00DE08F2">
            <w:pPr>
              <w:autoSpaceDE w:val="0"/>
              <w:autoSpaceDN w:val="0"/>
              <w:adjustRightInd w:val="0"/>
              <w:rPr>
                <w:rFonts w:ascii="ITCFranklinGothicStd-Demi" w:hAnsi="ITCFranklinGothicStd-Demi" w:cs="ITCFranklinGothicStd-Demi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14:paraId="41828F22" w14:textId="77777777" w:rsidR="00DE08F2" w:rsidRDefault="00DE08F2" w:rsidP="00DE08F2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b/>
          <w:bCs/>
          <w:color w:val="FFFFFF"/>
          <w:sz w:val="20"/>
          <w:szCs w:val="20"/>
        </w:rPr>
      </w:pPr>
      <w:r>
        <w:rPr>
          <w:rFonts w:ascii="ITCFranklinGothicStd-Demi" w:hAnsi="ITCFranklinGothicStd-Demi" w:cs="ITCFranklinGothicStd-Demi"/>
          <w:b/>
          <w:bCs/>
          <w:color w:val="FFFFFF"/>
          <w:sz w:val="20"/>
          <w:szCs w:val="20"/>
        </w:rPr>
        <w:t>IK WIJ</w:t>
      </w:r>
    </w:p>
    <w:p w14:paraId="48B9DD06" w14:textId="77777777" w:rsidR="00DE08F2" w:rsidRDefault="00E122BF" w:rsidP="00DE08F2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  <w:r w:rsidRPr="00E122BF">
        <w:rPr>
          <w:rFonts w:ascii="ITCFranklinGothicStd-BookIt" w:hAnsi="ITCFranklinGothicStd-BookIt" w:cs="ITCFranklinGothicStd-BookIt"/>
          <w:iCs/>
          <w:sz w:val="20"/>
          <w:szCs w:val="20"/>
        </w:rPr>
        <w:t>Er</w:t>
      </w:r>
      <w:r w:rsidR="00DE08F2" w:rsidRPr="00E122BF">
        <w:rPr>
          <w:rFonts w:ascii="ITCFranklinGothicStd-Book" w:hAnsi="ITCFranklinGothicStd-Book" w:cs="ITCFranklinGothicStd-Book"/>
          <w:sz w:val="20"/>
          <w:szCs w:val="20"/>
        </w:rPr>
        <w:t xml:space="preserve"> </w:t>
      </w:r>
      <w:r>
        <w:rPr>
          <w:rFonts w:ascii="ITCFranklinGothicStd-Book" w:hAnsi="ITCFranklinGothicStd-Book" w:cs="ITCFranklinGothicStd-Book"/>
          <w:sz w:val="20"/>
          <w:szCs w:val="20"/>
        </w:rPr>
        <w:t xml:space="preserve">zijn </w:t>
      </w:r>
      <w:r w:rsidR="00DE08F2">
        <w:rPr>
          <w:rFonts w:ascii="ITCFranklinGothicStd-Book" w:hAnsi="ITCFranklinGothicStd-Book" w:cs="ITCFranklinGothicStd-Book"/>
          <w:sz w:val="20"/>
          <w:szCs w:val="20"/>
        </w:rPr>
        <w:t>zestien lessen per jaargroep, met dezelfde onderwerpen voor groep 1 t/m 8.</w:t>
      </w:r>
    </w:p>
    <w:p w14:paraId="1D610892" w14:textId="77777777" w:rsidR="00DE08F2" w:rsidRDefault="00DE08F2" w:rsidP="00DE08F2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  <w:r>
        <w:rPr>
          <w:rFonts w:ascii="ITCFranklinGothicStd-Book" w:hAnsi="ITCFranklinGothicStd-Book" w:cs="ITCFranklinGothicStd-Book"/>
          <w:sz w:val="20"/>
          <w:szCs w:val="20"/>
        </w:rPr>
        <w:t>Belangrijke basisvaardigheden komen in elke groep aan bod, telkens afgestemd op de leeftijd.</w:t>
      </w:r>
    </w:p>
    <w:p w14:paraId="2E929744" w14:textId="77777777" w:rsidR="00DE08F2" w:rsidRDefault="00DE08F2" w:rsidP="00DE08F2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  <w:r>
        <w:rPr>
          <w:rFonts w:ascii="ITCFranklinGothicStd-Book" w:hAnsi="ITCFranklinGothicStd-Book" w:cs="ITCFranklinGothicStd-Book"/>
          <w:sz w:val="20"/>
          <w:szCs w:val="20"/>
        </w:rPr>
        <w:t xml:space="preserve">Het ‘probleem’ en de ‘oplossing’ worden daarbij </w:t>
      </w:r>
      <w:proofErr w:type="spellStart"/>
      <w:r>
        <w:rPr>
          <w:rFonts w:ascii="ITCFranklinGothicStd-Book" w:hAnsi="ITCFranklinGothicStd-Book" w:cs="ITCFranklinGothicStd-Book"/>
          <w:sz w:val="20"/>
          <w:szCs w:val="20"/>
        </w:rPr>
        <w:t>schoolbreed</w:t>
      </w:r>
      <w:proofErr w:type="spellEnd"/>
      <w:r>
        <w:rPr>
          <w:rFonts w:ascii="ITCFranklinGothicStd-Book" w:hAnsi="ITCFranklinGothicStd-Book" w:cs="ITCFranklinGothicStd-Book"/>
          <w:sz w:val="20"/>
          <w:szCs w:val="20"/>
        </w:rPr>
        <w:t xml:space="preserve"> zoveel mogelijk met dezelfde woorden</w:t>
      </w:r>
    </w:p>
    <w:p w14:paraId="48C1D775" w14:textId="77777777" w:rsidR="00DE08F2" w:rsidRDefault="00DE08F2" w:rsidP="00DE08F2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  <w:proofErr w:type="gramStart"/>
      <w:r>
        <w:rPr>
          <w:rFonts w:ascii="ITCFranklinGothicStd-Book" w:hAnsi="ITCFranklinGothicStd-Book" w:cs="ITCFranklinGothicStd-Book"/>
          <w:sz w:val="20"/>
          <w:szCs w:val="20"/>
        </w:rPr>
        <w:t>omschreven</w:t>
      </w:r>
      <w:proofErr w:type="gramEnd"/>
      <w:r>
        <w:rPr>
          <w:rFonts w:ascii="ITCFranklinGothicStd-Book" w:hAnsi="ITCFranklinGothicStd-Book" w:cs="ITCFranklinGothicStd-Book"/>
          <w:sz w:val="20"/>
          <w:szCs w:val="20"/>
        </w:rPr>
        <w:t>. Teamleden kunnen daardoor ook op het schoolplein eenduidige, voor alle kinderen</w:t>
      </w:r>
    </w:p>
    <w:p w14:paraId="4F736F7B" w14:textId="77777777" w:rsidR="00DE08F2" w:rsidRDefault="00DE08F2" w:rsidP="00DE08F2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  <w:proofErr w:type="gramStart"/>
      <w:r>
        <w:rPr>
          <w:rFonts w:ascii="ITCFranklinGothicStd-Book" w:hAnsi="ITCFranklinGothicStd-Book" w:cs="ITCFranklinGothicStd-Book"/>
          <w:sz w:val="20"/>
          <w:szCs w:val="20"/>
        </w:rPr>
        <w:t>bekende</w:t>
      </w:r>
      <w:proofErr w:type="gramEnd"/>
      <w:r>
        <w:rPr>
          <w:rFonts w:ascii="ITCFranklinGothicStd-Book" w:hAnsi="ITCFranklinGothicStd-Book" w:cs="ITCFranklinGothicStd-Book"/>
          <w:sz w:val="20"/>
          <w:szCs w:val="20"/>
        </w:rPr>
        <w:t>, concrete instructies geven bij plagerijen, ruzies en ander ongewenst gedrag.</w:t>
      </w:r>
    </w:p>
    <w:p w14:paraId="1A88A292" w14:textId="77777777" w:rsidR="00DE08F2" w:rsidRDefault="00DE08F2" w:rsidP="00DE08F2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5"/>
        <w:gridCol w:w="3041"/>
      </w:tblGrid>
      <w:tr w:rsidR="00E122BF" w:rsidRPr="00272D99" w14:paraId="733D45C7" w14:textId="77777777" w:rsidTr="00EF6682">
        <w:tc>
          <w:tcPr>
            <w:tcW w:w="1065" w:type="dxa"/>
            <w:shd w:val="clear" w:color="auto" w:fill="00B0F0"/>
          </w:tcPr>
          <w:p w14:paraId="06D16933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sz w:val="16"/>
                <w:szCs w:val="16"/>
              </w:rPr>
              <w:t>LES NR</w:t>
            </w:r>
          </w:p>
        </w:tc>
        <w:tc>
          <w:tcPr>
            <w:tcW w:w="3041" w:type="dxa"/>
            <w:shd w:val="clear" w:color="auto" w:fill="00B0F0"/>
          </w:tcPr>
          <w:p w14:paraId="2ABD78CF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color w:val="000000"/>
                <w:sz w:val="16"/>
                <w:szCs w:val="16"/>
              </w:rPr>
            </w:pPr>
            <w:r w:rsidRPr="00272D99">
              <w:rPr>
                <w:rFonts w:cs="ITCFranklinGothicStd-Book"/>
                <w:color w:val="000000"/>
                <w:sz w:val="16"/>
                <w:szCs w:val="16"/>
              </w:rPr>
              <w:t>ONDERWERP</w:t>
            </w:r>
          </w:p>
          <w:p w14:paraId="41D06847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color w:val="000000"/>
                <w:sz w:val="16"/>
                <w:szCs w:val="16"/>
              </w:rPr>
            </w:pPr>
          </w:p>
        </w:tc>
      </w:tr>
      <w:tr w:rsidR="00E122BF" w:rsidRPr="00272D99" w14:paraId="77E4C82B" w14:textId="77777777" w:rsidTr="00EF6682">
        <w:tc>
          <w:tcPr>
            <w:tcW w:w="1065" w:type="dxa"/>
          </w:tcPr>
          <w:p w14:paraId="10AAE945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sz w:val="16"/>
                <w:szCs w:val="16"/>
              </w:rPr>
              <w:t>LES 1</w:t>
            </w:r>
          </w:p>
        </w:tc>
        <w:tc>
          <w:tcPr>
            <w:tcW w:w="3041" w:type="dxa"/>
          </w:tcPr>
          <w:p w14:paraId="07C3A6DB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color w:val="000000"/>
                <w:sz w:val="16"/>
                <w:szCs w:val="16"/>
              </w:rPr>
            </w:pPr>
            <w:r w:rsidRPr="00272D99">
              <w:rPr>
                <w:rFonts w:cs="ITCFranklinGothicStd-Book"/>
                <w:color w:val="000000"/>
                <w:sz w:val="16"/>
                <w:szCs w:val="16"/>
              </w:rPr>
              <w:t>Wennen</w:t>
            </w:r>
          </w:p>
        </w:tc>
      </w:tr>
      <w:tr w:rsidR="00E122BF" w:rsidRPr="00272D99" w14:paraId="70B8D53E" w14:textId="77777777" w:rsidTr="00EF6682">
        <w:tc>
          <w:tcPr>
            <w:tcW w:w="1065" w:type="dxa"/>
          </w:tcPr>
          <w:p w14:paraId="1EE004B2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sz w:val="16"/>
                <w:szCs w:val="16"/>
              </w:rPr>
              <w:t>LES 2</w:t>
            </w:r>
          </w:p>
        </w:tc>
        <w:tc>
          <w:tcPr>
            <w:tcW w:w="3041" w:type="dxa"/>
          </w:tcPr>
          <w:p w14:paraId="1320E9DF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color w:val="000000"/>
                <w:sz w:val="16"/>
                <w:szCs w:val="16"/>
              </w:rPr>
              <w:t>Samen één groep</w:t>
            </w:r>
          </w:p>
        </w:tc>
      </w:tr>
      <w:tr w:rsidR="00E122BF" w:rsidRPr="00272D99" w14:paraId="6C32D50A" w14:textId="77777777" w:rsidTr="00EF6682">
        <w:tc>
          <w:tcPr>
            <w:tcW w:w="1065" w:type="dxa"/>
          </w:tcPr>
          <w:p w14:paraId="7DD9A56E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sz w:val="16"/>
                <w:szCs w:val="16"/>
              </w:rPr>
              <w:t>LES 3</w:t>
            </w:r>
          </w:p>
        </w:tc>
        <w:tc>
          <w:tcPr>
            <w:tcW w:w="3041" w:type="dxa"/>
          </w:tcPr>
          <w:p w14:paraId="21AC5B2F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color w:val="000000"/>
                <w:sz w:val="16"/>
                <w:szCs w:val="16"/>
              </w:rPr>
              <w:t>Grapje, plagen, pesten</w:t>
            </w:r>
          </w:p>
        </w:tc>
      </w:tr>
      <w:tr w:rsidR="00E122BF" w:rsidRPr="00272D99" w14:paraId="74CD7B72" w14:textId="77777777" w:rsidTr="00EF6682">
        <w:tc>
          <w:tcPr>
            <w:tcW w:w="1065" w:type="dxa"/>
          </w:tcPr>
          <w:p w14:paraId="7523DEF6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sz w:val="16"/>
                <w:szCs w:val="16"/>
              </w:rPr>
              <w:t>LES 4</w:t>
            </w:r>
          </w:p>
        </w:tc>
        <w:tc>
          <w:tcPr>
            <w:tcW w:w="3041" w:type="dxa"/>
          </w:tcPr>
          <w:p w14:paraId="7C2D66CB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color w:val="000000"/>
                <w:sz w:val="16"/>
                <w:szCs w:val="16"/>
              </w:rPr>
              <w:t>Opkomen voor jezelf</w:t>
            </w:r>
          </w:p>
        </w:tc>
      </w:tr>
      <w:tr w:rsidR="00E122BF" w:rsidRPr="00272D99" w14:paraId="3CFF032A" w14:textId="77777777" w:rsidTr="00EF6682">
        <w:tc>
          <w:tcPr>
            <w:tcW w:w="1065" w:type="dxa"/>
          </w:tcPr>
          <w:p w14:paraId="0A05AE71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sz w:val="16"/>
                <w:szCs w:val="16"/>
              </w:rPr>
              <w:t>LES 5</w:t>
            </w:r>
          </w:p>
        </w:tc>
        <w:tc>
          <w:tcPr>
            <w:tcW w:w="3041" w:type="dxa"/>
          </w:tcPr>
          <w:p w14:paraId="1701D96E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color w:val="000000"/>
                <w:sz w:val="16"/>
                <w:szCs w:val="16"/>
              </w:rPr>
              <w:t>Blij met jezelf</w:t>
            </w:r>
          </w:p>
        </w:tc>
      </w:tr>
      <w:tr w:rsidR="00E122BF" w:rsidRPr="00272D99" w14:paraId="72DE7E56" w14:textId="77777777" w:rsidTr="00EF6682">
        <w:tc>
          <w:tcPr>
            <w:tcW w:w="1065" w:type="dxa"/>
          </w:tcPr>
          <w:p w14:paraId="1E29308F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sz w:val="16"/>
                <w:szCs w:val="16"/>
              </w:rPr>
              <w:t>LES 6</w:t>
            </w:r>
          </w:p>
        </w:tc>
        <w:tc>
          <w:tcPr>
            <w:tcW w:w="3041" w:type="dxa"/>
          </w:tcPr>
          <w:p w14:paraId="2D38B0AC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color w:val="000000"/>
                <w:sz w:val="16"/>
                <w:szCs w:val="16"/>
              </w:rPr>
              <w:t>Samen spelen en werken</w:t>
            </w:r>
          </w:p>
        </w:tc>
      </w:tr>
      <w:tr w:rsidR="00E122BF" w:rsidRPr="00272D99" w14:paraId="362A744D" w14:textId="77777777" w:rsidTr="00EF6682">
        <w:tc>
          <w:tcPr>
            <w:tcW w:w="1065" w:type="dxa"/>
          </w:tcPr>
          <w:p w14:paraId="5CA1B0DC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sz w:val="16"/>
                <w:szCs w:val="16"/>
              </w:rPr>
              <w:t>LES 7</w:t>
            </w:r>
          </w:p>
        </w:tc>
        <w:tc>
          <w:tcPr>
            <w:tcW w:w="3041" w:type="dxa"/>
          </w:tcPr>
          <w:p w14:paraId="420ADF6F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color w:val="000000"/>
                <w:sz w:val="16"/>
                <w:szCs w:val="16"/>
              </w:rPr>
              <w:t>Druk, druk, druk</w:t>
            </w:r>
          </w:p>
        </w:tc>
      </w:tr>
      <w:tr w:rsidR="00E122BF" w:rsidRPr="00272D99" w14:paraId="01BF1A06" w14:textId="77777777" w:rsidTr="00EF6682">
        <w:tc>
          <w:tcPr>
            <w:tcW w:w="1065" w:type="dxa"/>
          </w:tcPr>
          <w:p w14:paraId="15BC72AF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sz w:val="16"/>
                <w:szCs w:val="16"/>
              </w:rPr>
              <w:t>LES 8</w:t>
            </w:r>
          </w:p>
        </w:tc>
        <w:tc>
          <w:tcPr>
            <w:tcW w:w="3041" w:type="dxa"/>
          </w:tcPr>
          <w:p w14:paraId="79886CB3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color w:val="000000"/>
                <w:sz w:val="16"/>
                <w:szCs w:val="16"/>
              </w:rPr>
              <w:t>Wat voel ik?</w:t>
            </w:r>
          </w:p>
        </w:tc>
      </w:tr>
      <w:tr w:rsidR="00E122BF" w:rsidRPr="00272D99" w14:paraId="3DA33DD8" w14:textId="77777777" w:rsidTr="00EF6682">
        <w:tc>
          <w:tcPr>
            <w:tcW w:w="1065" w:type="dxa"/>
          </w:tcPr>
          <w:p w14:paraId="1B56098F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sz w:val="16"/>
                <w:szCs w:val="16"/>
              </w:rPr>
              <w:t>LES 9</w:t>
            </w:r>
          </w:p>
        </w:tc>
        <w:tc>
          <w:tcPr>
            <w:tcW w:w="3041" w:type="dxa"/>
          </w:tcPr>
          <w:p w14:paraId="4EB98153" w14:textId="77777777" w:rsidR="00E122BF" w:rsidRPr="00272D99" w:rsidRDefault="00E122BF" w:rsidP="00DE08F2">
            <w:pPr>
              <w:autoSpaceDE w:val="0"/>
              <w:autoSpaceDN w:val="0"/>
              <w:adjustRightInd w:val="0"/>
              <w:rPr>
                <w:rFonts w:cs="ITCFranklinGothicStd-Book"/>
                <w:color w:val="000000"/>
                <w:sz w:val="16"/>
                <w:szCs w:val="16"/>
              </w:rPr>
            </w:pPr>
            <w:r w:rsidRPr="00272D99">
              <w:rPr>
                <w:rFonts w:cs="ITCFranklinGothicStd-Book"/>
                <w:color w:val="000000"/>
                <w:sz w:val="16"/>
                <w:szCs w:val="16"/>
              </w:rPr>
              <w:t>Allemaal anders</w:t>
            </w:r>
          </w:p>
        </w:tc>
      </w:tr>
      <w:tr w:rsidR="00E122BF" w:rsidRPr="00272D99" w14:paraId="7A18FC67" w14:textId="77777777" w:rsidTr="00EF6682">
        <w:tc>
          <w:tcPr>
            <w:tcW w:w="1065" w:type="dxa"/>
          </w:tcPr>
          <w:p w14:paraId="3A886880" w14:textId="77777777" w:rsidR="00E122BF" w:rsidRPr="00272D99" w:rsidRDefault="00E122BF" w:rsidP="00EF668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sz w:val="16"/>
                <w:szCs w:val="16"/>
              </w:rPr>
              <w:t>LES 10</w:t>
            </w:r>
          </w:p>
        </w:tc>
        <w:tc>
          <w:tcPr>
            <w:tcW w:w="3041" w:type="dxa"/>
          </w:tcPr>
          <w:p w14:paraId="1E1DD8F5" w14:textId="77777777" w:rsidR="00E122BF" w:rsidRPr="00272D99" w:rsidRDefault="00E122BF" w:rsidP="00EF6682">
            <w:pPr>
              <w:autoSpaceDE w:val="0"/>
              <w:autoSpaceDN w:val="0"/>
              <w:adjustRightInd w:val="0"/>
              <w:rPr>
                <w:rFonts w:cs="ITCFranklinGothicStd-Book"/>
                <w:color w:val="000000"/>
                <w:sz w:val="16"/>
                <w:szCs w:val="16"/>
              </w:rPr>
            </w:pPr>
            <w:r w:rsidRPr="00272D99">
              <w:rPr>
                <w:rFonts w:cs="ITCFranklinGothicStd-Book"/>
                <w:color w:val="000000"/>
                <w:sz w:val="16"/>
                <w:szCs w:val="16"/>
              </w:rPr>
              <w:t>Wat denk ik?</w:t>
            </w:r>
          </w:p>
        </w:tc>
      </w:tr>
      <w:tr w:rsidR="00E122BF" w:rsidRPr="00272D99" w14:paraId="0E1F262A" w14:textId="77777777" w:rsidTr="00EF6682">
        <w:tc>
          <w:tcPr>
            <w:tcW w:w="1065" w:type="dxa"/>
          </w:tcPr>
          <w:p w14:paraId="2B97ED9C" w14:textId="77777777" w:rsidR="00E122BF" w:rsidRPr="00272D99" w:rsidRDefault="00E122BF" w:rsidP="00EF668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sz w:val="16"/>
                <w:szCs w:val="16"/>
              </w:rPr>
              <w:t>LES 11</w:t>
            </w:r>
          </w:p>
        </w:tc>
        <w:tc>
          <w:tcPr>
            <w:tcW w:w="3041" w:type="dxa"/>
          </w:tcPr>
          <w:p w14:paraId="7E834C9D" w14:textId="77777777" w:rsidR="00E122BF" w:rsidRPr="00272D99" w:rsidRDefault="00E122BF" w:rsidP="00EF6682">
            <w:pPr>
              <w:autoSpaceDE w:val="0"/>
              <w:autoSpaceDN w:val="0"/>
              <w:adjustRightInd w:val="0"/>
              <w:rPr>
                <w:rFonts w:cs="ITCFranklinGothicStd-Book"/>
                <w:color w:val="000000"/>
                <w:sz w:val="16"/>
                <w:szCs w:val="16"/>
              </w:rPr>
            </w:pPr>
            <w:r w:rsidRPr="00272D99">
              <w:rPr>
                <w:rFonts w:cs="ITCFranklinGothicStd-Book"/>
                <w:color w:val="000000"/>
                <w:sz w:val="16"/>
                <w:szCs w:val="16"/>
              </w:rPr>
              <w:t>Kiezen</w:t>
            </w:r>
          </w:p>
        </w:tc>
      </w:tr>
      <w:tr w:rsidR="00E122BF" w:rsidRPr="00272D99" w14:paraId="34C49F7B" w14:textId="77777777" w:rsidTr="00EF6682">
        <w:tc>
          <w:tcPr>
            <w:tcW w:w="1065" w:type="dxa"/>
          </w:tcPr>
          <w:p w14:paraId="5C07C7F0" w14:textId="77777777" w:rsidR="00E122BF" w:rsidRPr="00272D99" w:rsidRDefault="00E122BF" w:rsidP="00EF668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sz w:val="16"/>
                <w:szCs w:val="16"/>
              </w:rPr>
              <w:t>LES 12</w:t>
            </w:r>
          </w:p>
        </w:tc>
        <w:tc>
          <w:tcPr>
            <w:tcW w:w="3041" w:type="dxa"/>
          </w:tcPr>
          <w:p w14:paraId="318E223F" w14:textId="77777777" w:rsidR="00E122BF" w:rsidRPr="00272D99" w:rsidRDefault="00E122BF" w:rsidP="00EF6682">
            <w:pPr>
              <w:autoSpaceDE w:val="0"/>
              <w:autoSpaceDN w:val="0"/>
              <w:adjustRightInd w:val="0"/>
              <w:rPr>
                <w:rFonts w:cs="ITCFranklinGothicStd-Book"/>
                <w:color w:val="000000"/>
                <w:sz w:val="16"/>
                <w:szCs w:val="16"/>
              </w:rPr>
            </w:pPr>
            <w:r w:rsidRPr="00272D99">
              <w:rPr>
                <w:rFonts w:cs="ITCFranklinGothicStd-Book"/>
                <w:color w:val="000000"/>
                <w:sz w:val="16"/>
                <w:szCs w:val="16"/>
              </w:rPr>
              <w:t>Jezelf de baas</w:t>
            </w:r>
          </w:p>
        </w:tc>
      </w:tr>
      <w:tr w:rsidR="00E122BF" w:rsidRPr="00272D99" w14:paraId="1525D51E" w14:textId="77777777" w:rsidTr="00EF6682">
        <w:tc>
          <w:tcPr>
            <w:tcW w:w="1065" w:type="dxa"/>
          </w:tcPr>
          <w:p w14:paraId="76270E4B" w14:textId="77777777" w:rsidR="00E122BF" w:rsidRPr="00272D99" w:rsidRDefault="00E122BF" w:rsidP="00EF668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sz w:val="16"/>
                <w:szCs w:val="16"/>
              </w:rPr>
              <w:t>LES 13</w:t>
            </w:r>
          </w:p>
        </w:tc>
        <w:tc>
          <w:tcPr>
            <w:tcW w:w="3041" w:type="dxa"/>
          </w:tcPr>
          <w:p w14:paraId="535C4091" w14:textId="77777777" w:rsidR="00E122BF" w:rsidRPr="00272D99" w:rsidRDefault="00E122BF" w:rsidP="00EF6682">
            <w:pPr>
              <w:autoSpaceDE w:val="0"/>
              <w:autoSpaceDN w:val="0"/>
              <w:adjustRightInd w:val="0"/>
              <w:rPr>
                <w:rFonts w:cs="ITCFranklinGothicStd-Book"/>
                <w:color w:val="000000"/>
                <w:sz w:val="16"/>
                <w:szCs w:val="16"/>
              </w:rPr>
            </w:pPr>
            <w:r w:rsidRPr="00272D99">
              <w:rPr>
                <w:rFonts w:cs="ITCFranklinGothicStd-Book"/>
                <w:color w:val="000000"/>
                <w:sz w:val="16"/>
                <w:szCs w:val="16"/>
              </w:rPr>
              <w:t>Eerlijk waar?</w:t>
            </w:r>
          </w:p>
        </w:tc>
      </w:tr>
      <w:tr w:rsidR="00E122BF" w:rsidRPr="00272D99" w14:paraId="412003CD" w14:textId="77777777" w:rsidTr="00EF6682">
        <w:tc>
          <w:tcPr>
            <w:tcW w:w="1065" w:type="dxa"/>
          </w:tcPr>
          <w:p w14:paraId="676D9C97" w14:textId="77777777" w:rsidR="00E122BF" w:rsidRPr="00272D99" w:rsidRDefault="00E122BF" w:rsidP="00EF668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sz w:val="16"/>
                <w:szCs w:val="16"/>
              </w:rPr>
              <w:t>LES 14</w:t>
            </w:r>
          </w:p>
        </w:tc>
        <w:tc>
          <w:tcPr>
            <w:tcW w:w="3041" w:type="dxa"/>
          </w:tcPr>
          <w:p w14:paraId="731D2BA3" w14:textId="77777777" w:rsidR="00E122BF" w:rsidRPr="00272D99" w:rsidRDefault="00E122BF" w:rsidP="00EF6682">
            <w:pPr>
              <w:autoSpaceDE w:val="0"/>
              <w:autoSpaceDN w:val="0"/>
              <w:adjustRightInd w:val="0"/>
              <w:rPr>
                <w:rFonts w:cs="ITCFranklinGothicStd-Book"/>
                <w:color w:val="000000"/>
                <w:sz w:val="16"/>
                <w:szCs w:val="16"/>
              </w:rPr>
            </w:pPr>
            <w:r w:rsidRPr="00272D99">
              <w:rPr>
                <w:rFonts w:cs="ITCFranklinGothicStd-Book"/>
                <w:color w:val="000000"/>
                <w:sz w:val="16"/>
                <w:szCs w:val="16"/>
              </w:rPr>
              <w:t>Vrienden</w:t>
            </w:r>
          </w:p>
        </w:tc>
      </w:tr>
      <w:tr w:rsidR="00E122BF" w:rsidRPr="00272D99" w14:paraId="6A6A0A5F" w14:textId="77777777" w:rsidTr="00EF6682">
        <w:tc>
          <w:tcPr>
            <w:tcW w:w="1065" w:type="dxa"/>
          </w:tcPr>
          <w:p w14:paraId="043EA56B" w14:textId="77777777" w:rsidR="00E122BF" w:rsidRPr="00272D99" w:rsidRDefault="00E122BF" w:rsidP="00EF668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sz w:val="16"/>
                <w:szCs w:val="16"/>
              </w:rPr>
              <w:t>LES 15</w:t>
            </w:r>
          </w:p>
        </w:tc>
        <w:tc>
          <w:tcPr>
            <w:tcW w:w="3041" w:type="dxa"/>
          </w:tcPr>
          <w:p w14:paraId="725CBA75" w14:textId="77777777" w:rsidR="00E122BF" w:rsidRPr="00272D99" w:rsidRDefault="00E122BF" w:rsidP="00EF6682">
            <w:pPr>
              <w:autoSpaceDE w:val="0"/>
              <w:autoSpaceDN w:val="0"/>
              <w:adjustRightInd w:val="0"/>
              <w:rPr>
                <w:rFonts w:cs="ITCFranklinGothicStd-Book"/>
                <w:color w:val="000000"/>
                <w:sz w:val="16"/>
                <w:szCs w:val="16"/>
              </w:rPr>
            </w:pPr>
            <w:r w:rsidRPr="00272D99">
              <w:rPr>
                <w:rFonts w:cs="ITCFranklinGothicStd-Book"/>
                <w:color w:val="000000"/>
                <w:sz w:val="16"/>
                <w:szCs w:val="16"/>
              </w:rPr>
              <w:t>Ken jezelf</w:t>
            </w:r>
          </w:p>
        </w:tc>
      </w:tr>
      <w:tr w:rsidR="00E122BF" w:rsidRPr="00272D99" w14:paraId="6D9646D2" w14:textId="77777777" w:rsidTr="00EF6682">
        <w:tc>
          <w:tcPr>
            <w:tcW w:w="1065" w:type="dxa"/>
          </w:tcPr>
          <w:p w14:paraId="011CBFB3" w14:textId="77777777" w:rsidR="00E122BF" w:rsidRPr="00272D99" w:rsidRDefault="00E122BF" w:rsidP="00EF6682">
            <w:pPr>
              <w:autoSpaceDE w:val="0"/>
              <w:autoSpaceDN w:val="0"/>
              <w:adjustRightInd w:val="0"/>
              <w:rPr>
                <w:rFonts w:cs="ITCFranklinGothicStd-Book"/>
                <w:sz w:val="16"/>
                <w:szCs w:val="16"/>
              </w:rPr>
            </w:pPr>
            <w:r w:rsidRPr="00272D99">
              <w:rPr>
                <w:rFonts w:cs="ITCFranklinGothicStd-Book"/>
                <w:sz w:val="16"/>
                <w:szCs w:val="16"/>
              </w:rPr>
              <w:t>LES 16</w:t>
            </w:r>
          </w:p>
        </w:tc>
        <w:tc>
          <w:tcPr>
            <w:tcW w:w="3041" w:type="dxa"/>
          </w:tcPr>
          <w:p w14:paraId="46F2D9B1" w14:textId="77777777" w:rsidR="00E122BF" w:rsidRPr="00272D99" w:rsidRDefault="00E122BF" w:rsidP="00EF6682">
            <w:pPr>
              <w:autoSpaceDE w:val="0"/>
              <w:autoSpaceDN w:val="0"/>
              <w:adjustRightInd w:val="0"/>
              <w:rPr>
                <w:rFonts w:cs="ITCFranklinGothicStd-Book"/>
                <w:color w:val="000000"/>
                <w:sz w:val="16"/>
                <w:szCs w:val="16"/>
              </w:rPr>
            </w:pPr>
            <w:r w:rsidRPr="00272D99">
              <w:rPr>
                <w:rFonts w:cs="ITCFranklinGothicStd-Book"/>
                <w:color w:val="000000"/>
                <w:sz w:val="16"/>
                <w:szCs w:val="16"/>
              </w:rPr>
              <w:t>Wensen en dromen</w:t>
            </w:r>
          </w:p>
        </w:tc>
      </w:tr>
    </w:tbl>
    <w:p w14:paraId="3927E4B2" w14:textId="77777777" w:rsidR="00DE08F2" w:rsidRDefault="00DE08F2" w:rsidP="00DE08F2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14:paraId="4A7D44A0" w14:textId="77777777" w:rsidR="00EF6682" w:rsidRDefault="004A4E5B" w:rsidP="00EF6682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  <w:r>
        <w:rPr>
          <w:rFonts w:ascii="ITCFranklinGothicStd-Book" w:hAnsi="ITCFranklinGothicStd-Book" w:cs="ITCFranklinGothicStd-Book"/>
          <w:sz w:val="20"/>
          <w:szCs w:val="20"/>
        </w:rPr>
        <w:t>In het begin van het jaar komt</w:t>
      </w:r>
      <w:r w:rsidR="00EF6682">
        <w:rPr>
          <w:rFonts w:ascii="ITCFranklinGothicStd-Book" w:hAnsi="ITCFranklinGothicStd-Book" w:cs="ITCFranklinGothicStd-Book"/>
          <w:sz w:val="20"/>
          <w:szCs w:val="20"/>
        </w:rPr>
        <w:t xml:space="preserve"> er een brief voor de ouders waarin </w:t>
      </w:r>
      <w:r w:rsidR="00EF6682">
        <w:rPr>
          <w:rFonts w:ascii="ITCFranklinGothicStd-BookIt" w:hAnsi="ITCFranklinGothicStd-BookIt" w:cs="ITCFranklinGothicStd-BookIt"/>
          <w:i/>
          <w:iCs/>
          <w:sz w:val="20"/>
          <w:szCs w:val="20"/>
        </w:rPr>
        <w:t xml:space="preserve">Goed gedaan! </w:t>
      </w:r>
      <w:r w:rsidR="00EF6682">
        <w:rPr>
          <w:rFonts w:ascii="ITCFranklinGothicStd-Book" w:hAnsi="ITCFranklinGothicStd-Book" w:cs="ITCFranklinGothicStd-Book"/>
          <w:sz w:val="20"/>
          <w:szCs w:val="20"/>
        </w:rPr>
        <w:t>geïntroduceerd wordt.</w:t>
      </w:r>
    </w:p>
    <w:p w14:paraId="42BE7E4C" w14:textId="77777777" w:rsidR="00DE08F2" w:rsidRPr="004A4E5B" w:rsidRDefault="004A4E5B" w:rsidP="00DE08F2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  <w:r>
        <w:rPr>
          <w:rFonts w:ascii="ITCFranklinGothicStd-Book" w:hAnsi="ITCFranklinGothicStd-Book" w:cs="ITCFranklinGothicStd-Book"/>
          <w:sz w:val="20"/>
          <w:szCs w:val="20"/>
        </w:rPr>
        <w:t>Ook zetten wij voor</w:t>
      </w:r>
      <w:r w:rsidR="00EF6682">
        <w:rPr>
          <w:rFonts w:ascii="ITCFranklinGothicStd-Book" w:hAnsi="ITCFranklinGothicStd-Book" w:cs="ITCFranklinGothicStd-Book"/>
          <w:sz w:val="20"/>
          <w:szCs w:val="20"/>
        </w:rPr>
        <w:t xml:space="preserve"> elke les een ouderbrief</w:t>
      </w:r>
      <w:r>
        <w:rPr>
          <w:rFonts w:ascii="ITCFranklinGothicStd-Book" w:hAnsi="ITCFranklinGothicStd-Book" w:cs="ITCFranklinGothicStd-Book"/>
          <w:sz w:val="20"/>
          <w:szCs w:val="20"/>
        </w:rPr>
        <w:t xml:space="preserve"> en de planning van de lessen op de website waarin</w:t>
      </w:r>
      <w:r w:rsidR="00EF6682">
        <w:rPr>
          <w:rFonts w:ascii="ITCFranklinGothicStd-Book" w:hAnsi="ITCFranklinGothicStd-Book" w:cs="ITCFranklinGothicStd-Book"/>
          <w:sz w:val="20"/>
          <w:szCs w:val="20"/>
        </w:rPr>
        <w:t xml:space="preserve"> ouders kunnen lezen welk onderwerp </w:t>
      </w:r>
      <w:r>
        <w:rPr>
          <w:rFonts w:ascii="ITCFranklinGothicStd-Book" w:hAnsi="ITCFranklinGothicStd-Book" w:cs="ITCFranklinGothicStd-Book"/>
          <w:sz w:val="20"/>
          <w:szCs w:val="20"/>
        </w:rPr>
        <w:t>in de</w:t>
      </w:r>
      <w:r w:rsidR="00EF6682">
        <w:rPr>
          <w:rFonts w:ascii="ITCFranklinGothicStd-Book" w:hAnsi="ITCFranklinGothicStd-Book" w:cs="ITCFranklinGothicStd-Book"/>
          <w:sz w:val="20"/>
          <w:szCs w:val="20"/>
        </w:rPr>
        <w:t xml:space="preserve"> les</w:t>
      </w:r>
      <w:r>
        <w:rPr>
          <w:rFonts w:ascii="ITCFranklinGothicStd-Book" w:hAnsi="ITCFranklinGothicStd-Book" w:cs="ITCFranklinGothicStd-Book"/>
          <w:sz w:val="20"/>
          <w:szCs w:val="20"/>
        </w:rPr>
        <w:t>sen centraal staan</w:t>
      </w:r>
      <w:r w:rsidR="00EF6682">
        <w:rPr>
          <w:rFonts w:ascii="ITCFranklinGothicStd-Book" w:hAnsi="ITCFranklinGothicStd-Book" w:cs="ITCFranklinGothicStd-Book"/>
          <w:sz w:val="20"/>
          <w:szCs w:val="20"/>
        </w:rPr>
        <w:t xml:space="preserve"> en wat er</w:t>
      </w:r>
      <w:r>
        <w:rPr>
          <w:rFonts w:ascii="ITCFranklinGothicStd-Book" w:hAnsi="ITCFranklinGothicStd-Book" w:cs="ITCFranklinGothicStd-Book"/>
          <w:sz w:val="20"/>
          <w:szCs w:val="20"/>
        </w:rPr>
        <w:t xml:space="preserve"> wordt besproken</w:t>
      </w:r>
      <w:r w:rsidR="00EF6682">
        <w:rPr>
          <w:rFonts w:ascii="ITCFranklinGothicStd-Book" w:hAnsi="ITCFranklinGothicStd-Book" w:cs="ITCFranklinGothicStd-Book"/>
          <w:sz w:val="20"/>
          <w:szCs w:val="20"/>
        </w:rPr>
        <w:t>. Daarnaast staat in elke ouderbrief een aantal praktische tips voor thuis die aansluiten op de inhoud van die les.</w:t>
      </w:r>
      <w:r>
        <w:rPr>
          <w:rFonts w:ascii="ITCFranklinGothicStd-Book" w:hAnsi="ITCFranklinGothicStd-Book" w:cs="ITCFranklinGothicStd-Book"/>
          <w:sz w:val="20"/>
          <w:szCs w:val="20"/>
        </w:rPr>
        <w:t xml:space="preserve"> We zullen ook hier de 7 gewoonten van Covey aan </w:t>
      </w:r>
      <w:r w:rsidR="00272D99">
        <w:rPr>
          <w:rFonts w:ascii="ITCFranklinGothicStd-Book" w:hAnsi="ITCFranklinGothicStd-Book" w:cs="ITCFranklinGothicStd-Book"/>
          <w:sz w:val="20"/>
          <w:szCs w:val="20"/>
        </w:rPr>
        <w:t>koppelen, zodat we daar ook de verbinding mee kunnen maken.</w:t>
      </w:r>
    </w:p>
    <w:p w14:paraId="21001116" w14:textId="77777777" w:rsidR="00DE08F2" w:rsidRPr="004A4E5B" w:rsidRDefault="004A4E5B" w:rsidP="00DE08F2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19"/>
          <w:szCs w:val="19"/>
        </w:rPr>
      </w:pPr>
      <w:proofErr w:type="gramStart"/>
      <w:r>
        <w:rPr>
          <w:rFonts w:ascii="ITCFranklinGothicStd-Med" w:hAnsi="ITCFranklinGothicStd-Med" w:cs="ITCFranklinGothicStd-Med"/>
          <w:color w:val="FFFFFF"/>
          <w:sz w:val="20"/>
          <w:szCs w:val="20"/>
        </w:rPr>
        <w:t>les</w:t>
      </w:r>
      <w:proofErr w:type="gramEnd"/>
      <w:r>
        <w:rPr>
          <w:rFonts w:ascii="ITCFranklinGothicStd-Med" w:hAnsi="ITCFranklinGothicStd-Med" w:cs="ITCFranklinGothicStd-Med"/>
          <w:color w:val="FFFFFF"/>
          <w:sz w:val="20"/>
          <w:szCs w:val="20"/>
        </w:rPr>
        <w:t xml:space="preserve"> 1</w:t>
      </w:r>
    </w:p>
    <w:sectPr w:rsidR="00DE08F2" w:rsidRPr="004A4E5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48B72" w14:textId="77777777" w:rsidR="00861A89" w:rsidRDefault="00861A89" w:rsidP="004A4E5B">
      <w:pPr>
        <w:spacing w:after="0" w:line="240" w:lineRule="auto"/>
      </w:pPr>
      <w:r>
        <w:separator/>
      </w:r>
    </w:p>
  </w:endnote>
  <w:endnote w:type="continuationSeparator" w:id="0">
    <w:p w14:paraId="7BDDF021" w14:textId="77777777" w:rsidR="00861A89" w:rsidRDefault="00861A89" w:rsidP="004A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TCFranklinGothicStd-Book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ppOT-NoOne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FranklinGothicStd-Demi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FranklinGothicStd-BookIt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FranklinGothicStd-Med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828409"/>
      <w:docPartObj>
        <w:docPartGallery w:val="Page Numbers (Bottom of Page)"/>
        <w:docPartUnique/>
      </w:docPartObj>
    </w:sdtPr>
    <w:sdtEndPr/>
    <w:sdtContent>
      <w:p w14:paraId="0229F5A3" w14:textId="77777777" w:rsidR="004A4E5B" w:rsidRDefault="004A4E5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D5">
          <w:rPr>
            <w:noProof/>
          </w:rPr>
          <w:t>1</w:t>
        </w:r>
        <w:r>
          <w:fldChar w:fldCharType="end"/>
        </w:r>
      </w:p>
    </w:sdtContent>
  </w:sdt>
  <w:p w14:paraId="1EC12CEF" w14:textId="77777777" w:rsidR="004A4E5B" w:rsidRDefault="004A4E5B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EEC12" w14:textId="77777777" w:rsidR="00861A89" w:rsidRDefault="00861A89" w:rsidP="004A4E5B">
      <w:pPr>
        <w:spacing w:after="0" w:line="240" w:lineRule="auto"/>
      </w:pPr>
      <w:r>
        <w:separator/>
      </w:r>
    </w:p>
  </w:footnote>
  <w:footnote w:type="continuationSeparator" w:id="0">
    <w:p w14:paraId="1FECAE6C" w14:textId="77777777" w:rsidR="00861A89" w:rsidRDefault="00861A89" w:rsidP="004A4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2"/>
    <w:rsid w:val="000F630A"/>
    <w:rsid w:val="00272D99"/>
    <w:rsid w:val="004A4E5B"/>
    <w:rsid w:val="004D7803"/>
    <w:rsid w:val="00861A89"/>
    <w:rsid w:val="008D5FD5"/>
    <w:rsid w:val="00DE08F2"/>
    <w:rsid w:val="00E122BF"/>
    <w:rsid w:val="00EF6682"/>
    <w:rsid w:val="00F4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F4BA"/>
  <w15:chartTrackingRefBased/>
  <w15:docId w15:val="{55879ED7-3310-4326-B1A5-28256D15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E0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4A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A4E5B"/>
  </w:style>
  <w:style w:type="paragraph" w:styleId="Voettekst">
    <w:name w:val="footer"/>
    <w:basedOn w:val="Standaard"/>
    <w:link w:val="VoettekstTeken"/>
    <w:uiPriority w:val="99"/>
    <w:unhideWhenUsed/>
    <w:rsid w:val="004A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A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Klaaysen</dc:creator>
  <cp:keywords/>
  <dc:description/>
  <cp:lastModifiedBy>Bert Klaaysen</cp:lastModifiedBy>
  <cp:revision>2</cp:revision>
  <dcterms:created xsi:type="dcterms:W3CDTF">2016-06-04T08:57:00Z</dcterms:created>
  <dcterms:modified xsi:type="dcterms:W3CDTF">2016-06-04T08:57:00Z</dcterms:modified>
</cp:coreProperties>
</file>